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5</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hint="eastAsia" w:ascii="楷体" w:hAnsi="楷体" w:eastAsia="楷体" w:cs="Times New Roman"/>
        </w:rPr>
      </w:pPr>
      <w:r>
        <w:rPr>
          <w:rFonts w:hint="eastAsia" w:ascii="楷体" w:hAnsi="楷体" w:eastAsia="楷体" w:cs="Times New Roman"/>
        </w:rPr>
        <w:br w:type="page"/>
      </w:r>
    </w:p>
    <w:p>
      <w:pPr>
        <w:pStyle w:val="12"/>
        <w:pageBreakBefore/>
        <w:spacing w:before="0" w:beforeAutospacing="0" w:after="0" w:afterAutospacing="0" w:line="360" w:lineRule="auto"/>
        <w:jc w:val="center"/>
        <w:outlineLvl w:val="0"/>
        <w:rPr>
          <w:rFonts w:ascii="楷体" w:hAnsi="楷体" w:eastAsia="楷体"/>
          <w:b/>
          <w:sz w:val="32"/>
          <w:szCs w:val="32"/>
        </w:rPr>
      </w:pPr>
      <w:r>
        <w:rPr>
          <w:rFonts w:hint="eastAsia" w:ascii="楷体" w:hAnsi="楷体" w:eastAsia="楷体"/>
          <w:b/>
          <w:sz w:val="32"/>
          <w:szCs w:val="32"/>
        </w:rPr>
        <w:t>“</w:t>
      </w:r>
      <w:r>
        <w:rPr>
          <w:rFonts w:hint="eastAsia" w:ascii="楷体" w:hAnsi="楷体" w:eastAsia="楷体"/>
          <w:b/>
          <w:sz w:val="32"/>
          <w:szCs w:val="32"/>
          <w:lang w:eastAsia="zh-CN"/>
        </w:rPr>
        <w:t>苏银理财启源现金5号</w:t>
      </w:r>
      <w:r>
        <w:rPr>
          <w:rFonts w:hint="eastAsia" w:ascii="楷体" w:hAnsi="楷体" w:eastAsia="楷体"/>
          <w:b/>
          <w:sz w:val="32"/>
          <w:szCs w:val="32"/>
        </w:rPr>
        <w:t>”理财产品风险揭示书</w:t>
      </w:r>
    </w:p>
    <w:p>
      <w:pPr>
        <w:jc w:val="center"/>
        <w:outlineLvl w:val="1"/>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2" w:firstLineChars="200"/>
        <w:outlineLvl w:val="1"/>
        <w:rPr>
          <w:rFonts w:ascii="楷体" w:hAnsi="楷体" w:eastAsia="楷体"/>
          <w:b/>
          <w:sz w:val="24"/>
          <w:szCs w:val="24"/>
        </w:rPr>
      </w:pPr>
      <w:r>
        <w:rPr>
          <w:rFonts w:hint="eastAsia" w:ascii="楷体" w:hAnsi="楷体" w:eastAsia="楷体"/>
          <w:b/>
          <w:sz w:val="28"/>
          <w:szCs w:val="28"/>
        </w:rPr>
        <w:t>风险揭示</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r>
        <w:rPr>
          <w:rFonts w:hint="eastAsia" w:ascii="楷体" w:hAnsi="楷体" w:eastAsia="楷体"/>
          <w:b/>
          <w:sz w:val="24"/>
          <w:szCs w:val="24"/>
          <w:u w:val="single"/>
        </w:rPr>
        <w:t>。</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w:t>
      </w:r>
      <w:r>
        <w:rPr>
          <w:rFonts w:hint="eastAsia" w:ascii="楷体" w:hAnsi="楷体" w:eastAsia="楷体"/>
          <w:b/>
          <w:sz w:val="24"/>
          <w:szCs w:val="24"/>
          <w:lang w:eastAsia="zh-CN"/>
        </w:rPr>
        <w:t>（</w:t>
      </w:r>
      <w:r>
        <w:rPr>
          <w:rFonts w:hint="eastAsia" w:ascii="楷体" w:hAnsi="楷体" w:eastAsia="楷体"/>
          <w:b/>
          <w:sz w:val="24"/>
          <w:szCs w:val="24"/>
          <w:lang w:val="en-US" w:eastAsia="zh-CN"/>
        </w:rPr>
        <w:t>如有</w:t>
      </w:r>
      <w:r>
        <w:rPr>
          <w:rFonts w:hint="eastAsia" w:ascii="楷体" w:hAnsi="楷体" w:eastAsia="楷体"/>
          <w:b/>
          <w:sz w:val="24"/>
          <w:szCs w:val="24"/>
          <w:lang w:eastAsia="zh-CN"/>
        </w:rPr>
        <w:t>）</w:t>
      </w:r>
      <w:r>
        <w:rPr>
          <w:rFonts w:hint="eastAsia" w:ascii="楷体" w:hAnsi="楷体" w:eastAsia="楷体"/>
          <w:b/>
          <w:sz w:val="24"/>
          <w:szCs w:val="24"/>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w:t>
      </w:r>
      <w:r>
        <w:rPr>
          <w:rFonts w:hint="eastAsia" w:ascii="楷体" w:hAnsi="楷体" w:eastAsia="楷体"/>
          <w:sz w:val="24"/>
          <w:szCs w:val="24"/>
          <w:lang w:eastAsia="zh-CN"/>
        </w:rPr>
        <w:t>、</w:t>
      </w:r>
      <w:r>
        <w:rPr>
          <w:rFonts w:hint="eastAsia" w:ascii="楷体" w:hAnsi="楷体" w:eastAsia="楷体"/>
          <w:sz w:val="24"/>
          <w:szCs w:val="24"/>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债券投资的特殊风险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r>
        <w:rPr>
          <w:rFonts w:hint="eastAsia" w:ascii="楷体" w:hAnsi="楷体" w:eastAsia="楷体"/>
          <w:sz w:val="24"/>
          <w:szCs w:val="24"/>
          <w:lang w:eastAsia="zh-CN"/>
        </w:rPr>
        <w:t>。</w:t>
      </w:r>
    </w:p>
    <w:p>
      <w:pPr>
        <w:numPr>
          <w:ilvl w:val="0"/>
          <w:numId w:val="6"/>
        </w:numPr>
        <w:tabs>
          <w:tab w:val="left" w:pos="1092"/>
        </w:tabs>
        <w:ind w:left="0" w:firstLine="480" w:firstLineChars="200"/>
        <w:rPr>
          <w:rFonts w:ascii="楷体" w:hAnsi="楷体" w:eastAsia="楷体"/>
          <w:sz w:val="24"/>
          <w:szCs w:val="24"/>
        </w:rPr>
      </w:pPr>
      <w:r>
        <w:rPr>
          <w:rFonts w:hint="eastAsia" w:ascii="楷体" w:hAnsi="楷体" w:eastAsia="楷体"/>
          <w:sz w:val="24"/>
          <w:szCs w:val="24"/>
          <w:lang w:val="en-US" w:eastAsia="zh-CN"/>
        </w:rPr>
        <w:t>因</w:t>
      </w:r>
      <w:r>
        <w:rPr>
          <w:rFonts w:hint="eastAsia" w:ascii="楷体" w:hAnsi="楷体" w:eastAsia="楷体"/>
          <w:sz w:val="24"/>
          <w:szCs w:val="24"/>
        </w:rPr>
        <w:t>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u w:val="single"/>
        </w:rPr>
      </w:pPr>
    </w:p>
    <w:p>
      <w:pPr>
        <w:numPr>
          <w:ilvl w:val="0"/>
          <w:numId w:val="2"/>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u w:val="single"/>
        </w:rPr>
      </w:pPr>
      <w:r>
        <w:rPr>
          <w:rFonts w:hint="eastAsia" w:ascii="楷体" w:hAnsi="楷体" w:eastAsia="楷体"/>
          <w:b/>
          <w:sz w:val="24"/>
          <w:szCs w:val="24"/>
          <w:u w:val="single"/>
        </w:rPr>
        <w:t>3.管理人系江苏银行股份有限公司（下称"江苏银行"）全资子公司，江苏银行为管理人关联方。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4.本理财产品类型为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★一级，适合</w:t>
      </w:r>
      <w:r>
        <w:rPr>
          <w:rFonts w:hint="eastAsia" w:ascii="楷体" w:hAnsi="楷体" w:eastAsia="楷体" w:cs="Calibri"/>
          <w:b/>
          <w:sz w:val="24"/>
          <w:szCs w:val="24"/>
          <w:u w:val="single"/>
        </w:rPr>
        <w:t>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sz w:val="24"/>
          <w:szCs w:val="24"/>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rPr>
      </w:pPr>
      <w:r>
        <w:rPr>
          <w:rFonts w:hint="eastAsia" w:ascii="楷体" w:hAnsi="楷体" w:eastAsia="楷体"/>
          <w:sz w:val="24"/>
          <w:szCs w:val="24"/>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rPr>
      </w:pPr>
    </w:p>
    <w:p>
      <w:pPr>
        <w:pStyle w:val="12"/>
        <w:spacing w:before="0" w:beforeAutospacing="0" w:after="0" w:afterAutospacing="0" w:line="360" w:lineRule="auto"/>
        <w:ind w:left="420"/>
        <w:jc w:val="right"/>
      </w:pPr>
      <w:r>
        <w:rPr>
          <w:rFonts w:hint="eastAsia" w:ascii="楷体" w:hAnsi="楷体" w:eastAsia="楷体"/>
          <w:b/>
        </w:rPr>
        <w:t>风险揭示方：苏银理财有限责任公司</w:t>
      </w: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w:t>
      </w:r>
      <w:r>
        <w:rPr>
          <w:rFonts w:hint="eastAsia" w:ascii="楷体" w:hAnsi="楷体" w:eastAsia="楷体"/>
          <w:sz w:val="24"/>
          <w:szCs w:val="24"/>
          <w:highlight w:val="none"/>
        </w:rPr>
        <w:t>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w:t>
      </w:r>
      <w:r>
        <w:rPr>
          <w:rFonts w:hint="eastAsia" w:ascii="楷体" w:hAnsi="楷体" w:eastAsia="楷体"/>
          <w:sz w:val="24"/>
          <w:szCs w:val="24"/>
        </w:rPr>
        <w:t>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7"/>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w:t>
      </w:r>
      <w:r>
        <w:rPr>
          <w:rFonts w:ascii="楷体" w:hAnsi="楷体" w:eastAsia="楷体"/>
          <w:sz w:val="24"/>
          <w:szCs w:val="24"/>
        </w:rPr>
        <w:t>：投资决策系由本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bidi w:val="0"/>
        <w:rPr>
          <w:rFonts w:hint="eastAsia" w:ascii="Times New Roman" w:hAnsi="Times New Roman" w:eastAsia="宋体" w:cs="Times New Roman"/>
          <w:kern w:val="2"/>
          <w:sz w:val="21"/>
          <w:szCs w:val="22"/>
          <w:lang w:val="en-US" w:eastAsia="zh-CN" w:bidi="ar-SA"/>
        </w:rPr>
      </w:pP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8"/>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8"/>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8"/>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8"/>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8"/>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8"/>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8"/>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8"/>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8"/>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苏银理财启源现金5号P/J04619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P份额：2025年5月21日9:00至2025年5月21日17:00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/JS/J/K/P份额工作日00:00至24:00（不含）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/JS/J/K/P</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Cs w:val="21"/>
                <w:lang w:val="en-US" w:eastAsia="zh-CN"/>
              </w:rPr>
              <w:t>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9"/>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P份额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2883"/>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20"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20"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b w:val="0"/>
                <w:bCs w:val="0"/>
                <w:sz w:val="20"/>
                <w:szCs w:val="20"/>
                <w:highlight w:val="none"/>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w:t>
            </w:r>
          </w:p>
        </w:tc>
        <w:tc>
          <w:tcPr>
            <w:tcW w:w="292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弘业期货股份有限公司是经中国证监会批准设立的大型期货公司，总部位于江苏南京，公司在北京、上海、深圳等国内主要金融中心和重点城市设立40多家营业部和分公司。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13"/>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3"/>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3"/>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14"/>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4"/>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14"/>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6"/>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6"/>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N份额：2025年3月5日9:00至2025年3月5日17:00；</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P份额：2025年5月21日9:00至2025年5月21日17:00</w:t>
      </w:r>
      <w:r>
        <w:rPr>
          <w:rFonts w:hint="eastAsia" w:ascii="楷体" w:hAnsi="楷体" w:eastAsia="楷体" w:cs="Calibri"/>
          <w:sz w:val="24"/>
          <w:szCs w:val="24"/>
          <w:lang w:eastAsia="zh-CN"/>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Calibri"/>
                <w:sz w:val="18"/>
                <w:szCs w:val="18"/>
                <w:lang w:val="en-US" w:eastAsia="zh-CN"/>
              </w:rPr>
              <w:t>P</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J0461</w:t>
            </w:r>
            <w:r>
              <w:rPr>
                <w:rFonts w:hint="eastAsia" w:ascii="楷体" w:hAnsi="楷体" w:eastAsia="楷体" w:cs="Calibri"/>
                <w:sz w:val="18"/>
                <w:szCs w:val="18"/>
                <w:lang w:val="en-US" w:eastAsia="zh-CN"/>
              </w:rPr>
              <w:t>9</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 w:val="18"/>
                <w:szCs w:val="18"/>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18"/>
                <w:szCs w:val="18"/>
              </w:rPr>
              <w:t>0.01元的整数倍</w:t>
            </w:r>
          </w:p>
        </w:tc>
      </w:tr>
    </w:tbl>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份额登记；P份额于2025年5月22日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20"/>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20"/>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21"/>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20"/>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9"/>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22"/>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23"/>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22"/>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24"/>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25"/>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6"/>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9"/>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3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34"/>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35"/>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4"/>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6"/>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3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4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4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4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rPr>
          <w:rFonts w:hint="eastAsia" w:ascii="楷体" w:hAnsi="楷体" w:eastAsia="楷体"/>
          <w:sz w:val="24"/>
          <w:szCs w:val="24"/>
        </w:rPr>
      </w:pPr>
      <w:r>
        <w:rPr>
          <w:rFonts w:hint="eastAsia" w:ascii="楷体" w:hAnsi="楷体" w:eastAsia="楷体"/>
          <w:sz w:val="24"/>
          <w:szCs w:val="24"/>
        </w:rPr>
        <w:br w:type="page"/>
      </w:r>
    </w:p>
    <w:p>
      <w:pPr>
        <w:ind w:firstLine="480" w:firstLineChars="200"/>
        <w:rPr>
          <w:rFonts w:hint="eastAsia" w:ascii="楷体" w:hAnsi="楷体" w:eastAsia="楷体"/>
          <w:sz w:val="24"/>
          <w:szCs w:val="24"/>
        </w:rPr>
      </w:pPr>
    </w:p>
    <w:p>
      <w:pPr>
        <w:jc w:val="center"/>
        <w:outlineLvl w:val="0"/>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outlineLvl w:val="0"/>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5"/>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outlineLvl w:val="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outlineLvl w:val="1"/>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outlineLvl w:val="1"/>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outlineLvl w:val="1"/>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46"/>
        </w:numPr>
        <w:tabs>
          <w:tab w:val="left" w:pos="743"/>
        </w:tabs>
        <w:ind w:left="480" w:firstLine="0" w:firstLineChars="0"/>
        <w:outlineLvl w:val="1"/>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46"/>
        </w:numPr>
        <w:ind w:left="480" w:firstLine="0"/>
        <w:outlineLvl w:val="1"/>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outlineLvl w:val="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47"/>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8"/>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8"/>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8"/>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49"/>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9"/>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0"/>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0"/>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0"/>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0"/>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0"/>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0"/>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0"/>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both"/>
        <w:rPr>
          <w:rFonts w:ascii="楷体" w:hAnsi="楷体" w:eastAsia="楷体"/>
          <w:b/>
          <w:sz w:val="28"/>
          <w:szCs w:val="28"/>
        </w:rPr>
      </w:pPr>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D2C537CE"/>
    <w:multiLevelType w:val="singleLevel"/>
    <w:tmpl w:val="D2C537CE"/>
    <w:lvl w:ilvl="0" w:tentative="0">
      <w:start w:val="4"/>
      <w:numFmt w:val="decimal"/>
      <w:suff w:val="nothing"/>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6">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0">
    <w:nsid w:val="18278C74"/>
    <w:multiLevelType w:val="singleLevel"/>
    <w:tmpl w:val="18278C74"/>
    <w:lvl w:ilvl="0" w:tentative="0">
      <w:start w:val="2"/>
      <w:numFmt w:val="decimal"/>
      <w:suff w:val="space"/>
      <w:lvlText w:val="%1."/>
      <w:lvlJc w:val="left"/>
    </w:lvl>
  </w:abstractNum>
  <w:abstractNum w:abstractNumId="11">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7">
    <w:nsid w:val="2D3D19BD"/>
    <w:multiLevelType w:val="singleLevel"/>
    <w:tmpl w:val="2D3D19BD"/>
    <w:lvl w:ilvl="0" w:tentative="0">
      <w:start w:val="4"/>
      <w:numFmt w:val="decimal"/>
      <w:suff w:val="space"/>
      <w:lvlText w:val="%1."/>
      <w:lvlJc w:val="left"/>
    </w:lvl>
  </w:abstractNum>
  <w:abstractNum w:abstractNumId="18">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67AF553"/>
    <w:multiLevelType w:val="singleLevel"/>
    <w:tmpl w:val="767AF553"/>
    <w:lvl w:ilvl="0" w:tentative="0">
      <w:start w:val="8"/>
      <w:numFmt w:val="decimal"/>
      <w:suff w:val="space"/>
      <w:lvlText w:val="%1."/>
      <w:lvlJc w:val="left"/>
    </w:lvl>
  </w:abstractNum>
  <w:abstractNum w:abstractNumId="47">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8">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6"/>
  </w:num>
  <w:num w:numId="2">
    <w:abstractNumId w:val="13"/>
  </w:num>
  <w:num w:numId="3">
    <w:abstractNumId w:val="4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5"/>
  </w:num>
  <w:num w:numId="8">
    <w:abstractNumId w:val="24"/>
  </w:num>
  <w:num w:numId="9">
    <w:abstractNumId w:val="12"/>
  </w:num>
  <w:num w:numId="10">
    <w:abstractNumId w:val="20"/>
  </w:num>
  <w:num w:numId="11">
    <w:abstractNumId w:val="38"/>
  </w:num>
  <w:num w:numId="12">
    <w:abstractNumId w:val="32"/>
  </w:num>
  <w:num w:numId="13">
    <w:abstractNumId w:val="41"/>
  </w:num>
  <w:num w:numId="14">
    <w:abstractNumId w:val="14"/>
  </w:num>
  <w:num w:numId="15">
    <w:abstractNumId w:val="23"/>
  </w:num>
  <w:num w:numId="16">
    <w:abstractNumId w:val="4"/>
  </w:num>
  <w:num w:numId="17">
    <w:abstractNumId w:val="45"/>
  </w:num>
  <w:num w:numId="18">
    <w:abstractNumId w:val="27"/>
  </w:num>
  <w:num w:numId="19">
    <w:abstractNumId w:val="15"/>
  </w:num>
  <w:num w:numId="20">
    <w:abstractNumId w:val="5"/>
  </w:num>
  <w:num w:numId="21">
    <w:abstractNumId w:val="37"/>
  </w:num>
  <w:num w:numId="22">
    <w:abstractNumId w:val="9"/>
  </w:num>
  <w:num w:numId="23">
    <w:abstractNumId w:val="40"/>
  </w:num>
  <w:num w:numId="24">
    <w:abstractNumId w:val="2"/>
  </w:num>
  <w:num w:numId="25">
    <w:abstractNumId w:val="33"/>
  </w:num>
  <w:num w:numId="26">
    <w:abstractNumId w:val="11"/>
  </w:num>
  <w:num w:numId="27">
    <w:abstractNumId w:val="22"/>
  </w:num>
  <w:num w:numId="28">
    <w:abstractNumId w:val="6"/>
  </w:num>
  <w:num w:numId="29">
    <w:abstractNumId w:val="28"/>
  </w:num>
  <w:num w:numId="30">
    <w:abstractNumId w:val="49"/>
  </w:num>
  <w:num w:numId="31">
    <w:abstractNumId w:val="31"/>
  </w:num>
  <w:num w:numId="32">
    <w:abstractNumId w:val="29"/>
  </w:num>
  <w:num w:numId="33">
    <w:abstractNumId w:val="18"/>
  </w:num>
  <w:num w:numId="34">
    <w:abstractNumId w:val="39"/>
  </w:num>
  <w:num w:numId="35">
    <w:abstractNumId w:val="8"/>
  </w:num>
  <w:num w:numId="36">
    <w:abstractNumId w:val="42"/>
  </w:num>
  <w:num w:numId="37">
    <w:abstractNumId w:val="30"/>
  </w:num>
  <w:num w:numId="38">
    <w:abstractNumId w:val="35"/>
  </w:num>
  <w:num w:numId="39">
    <w:abstractNumId w:val="19"/>
  </w:num>
  <w:num w:numId="40">
    <w:abstractNumId w:val="48"/>
  </w:num>
  <w:num w:numId="41">
    <w:abstractNumId w:val="26"/>
  </w:num>
  <w:num w:numId="42">
    <w:abstractNumId w:val="43"/>
  </w:num>
  <w:num w:numId="43">
    <w:abstractNumId w:val="7"/>
  </w:num>
  <w:num w:numId="44">
    <w:abstractNumId w:val="34"/>
  </w:num>
  <w:num w:numId="45">
    <w:abstractNumId w:val="1"/>
  </w:num>
  <w:num w:numId="46">
    <w:abstractNumId w:val="3"/>
  </w:num>
  <w:num w:numId="47">
    <w:abstractNumId w:val="17"/>
  </w:num>
  <w:num w:numId="48">
    <w:abstractNumId w:val="10"/>
  </w:num>
  <w:num w:numId="49">
    <w:abstractNumId w:val="46"/>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DD2125"/>
    <w:rsid w:val="09EC4E9A"/>
    <w:rsid w:val="0A2B3E51"/>
    <w:rsid w:val="0A2B7F73"/>
    <w:rsid w:val="0A327048"/>
    <w:rsid w:val="0A4038E0"/>
    <w:rsid w:val="0A541832"/>
    <w:rsid w:val="0A80214B"/>
    <w:rsid w:val="0A835F27"/>
    <w:rsid w:val="0A97493E"/>
    <w:rsid w:val="0AB715F7"/>
    <w:rsid w:val="0B0D7FE5"/>
    <w:rsid w:val="0B15387F"/>
    <w:rsid w:val="0B243B52"/>
    <w:rsid w:val="0BC11263"/>
    <w:rsid w:val="0BD96283"/>
    <w:rsid w:val="0BDC010B"/>
    <w:rsid w:val="0BED7F86"/>
    <w:rsid w:val="0BF30924"/>
    <w:rsid w:val="0C510802"/>
    <w:rsid w:val="0C770F81"/>
    <w:rsid w:val="0D0578EB"/>
    <w:rsid w:val="0D1260BC"/>
    <w:rsid w:val="0D336D94"/>
    <w:rsid w:val="0D3F2706"/>
    <w:rsid w:val="0D542D4A"/>
    <w:rsid w:val="0D6B1BDB"/>
    <w:rsid w:val="0D7A1185"/>
    <w:rsid w:val="0D7E6E67"/>
    <w:rsid w:val="0D817E81"/>
    <w:rsid w:val="0D9C032D"/>
    <w:rsid w:val="0DAF4280"/>
    <w:rsid w:val="0DE55624"/>
    <w:rsid w:val="0DEC6564"/>
    <w:rsid w:val="0DFA753B"/>
    <w:rsid w:val="0E0530C9"/>
    <w:rsid w:val="0E076AE9"/>
    <w:rsid w:val="0E421E9F"/>
    <w:rsid w:val="0E8A38D7"/>
    <w:rsid w:val="0EBD3DC2"/>
    <w:rsid w:val="0EF75F06"/>
    <w:rsid w:val="0F0240D5"/>
    <w:rsid w:val="0F0B4575"/>
    <w:rsid w:val="0F10766C"/>
    <w:rsid w:val="0F3C24BD"/>
    <w:rsid w:val="0F3D22EA"/>
    <w:rsid w:val="0F410888"/>
    <w:rsid w:val="0F4B0B20"/>
    <w:rsid w:val="0F512D6C"/>
    <w:rsid w:val="0F542C0B"/>
    <w:rsid w:val="0F7524B8"/>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6B19CA"/>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B62EF9"/>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922D42"/>
    <w:rsid w:val="24927187"/>
    <w:rsid w:val="24B41DC8"/>
    <w:rsid w:val="24B527D7"/>
    <w:rsid w:val="24B578FA"/>
    <w:rsid w:val="24CB3566"/>
    <w:rsid w:val="24D05ACC"/>
    <w:rsid w:val="24D276CB"/>
    <w:rsid w:val="24EC172E"/>
    <w:rsid w:val="24F60C47"/>
    <w:rsid w:val="256731FA"/>
    <w:rsid w:val="2575528E"/>
    <w:rsid w:val="25900048"/>
    <w:rsid w:val="25A45A3C"/>
    <w:rsid w:val="25A4761E"/>
    <w:rsid w:val="25BF622B"/>
    <w:rsid w:val="25E12785"/>
    <w:rsid w:val="2613318A"/>
    <w:rsid w:val="26151600"/>
    <w:rsid w:val="264C74E4"/>
    <w:rsid w:val="26572A31"/>
    <w:rsid w:val="26581E6E"/>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BC169E9"/>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6327D9"/>
    <w:rsid w:val="37704D44"/>
    <w:rsid w:val="37791B81"/>
    <w:rsid w:val="378A7900"/>
    <w:rsid w:val="379344BE"/>
    <w:rsid w:val="37B533BF"/>
    <w:rsid w:val="37B56AE5"/>
    <w:rsid w:val="37BB3BA0"/>
    <w:rsid w:val="37BD3B90"/>
    <w:rsid w:val="37D231F3"/>
    <w:rsid w:val="38100675"/>
    <w:rsid w:val="38124733"/>
    <w:rsid w:val="38460B75"/>
    <w:rsid w:val="38470DE9"/>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0C51EB"/>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7D0485"/>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2275B0"/>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26096A"/>
    <w:rsid w:val="563E3517"/>
    <w:rsid w:val="565E5B98"/>
    <w:rsid w:val="56D67B51"/>
    <w:rsid w:val="56D70299"/>
    <w:rsid w:val="56F31AAD"/>
    <w:rsid w:val="571C2C71"/>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E5C46"/>
    <w:rsid w:val="634821C8"/>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4B1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9A78BF"/>
    <w:rsid w:val="6FC21988"/>
    <w:rsid w:val="6FCC0769"/>
    <w:rsid w:val="6FD71E11"/>
    <w:rsid w:val="7001089D"/>
    <w:rsid w:val="70347B1B"/>
    <w:rsid w:val="706E0DB9"/>
    <w:rsid w:val="70C7777F"/>
    <w:rsid w:val="70DC0F3A"/>
    <w:rsid w:val="71412611"/>
    <w:rsid w:val="715C6E4A"/>
    <w:rsid w:val="715F7D1F"/>
    <w:rsid w:val="71762896"/>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30D391B"/>
    <w:rsid w:val="73525B60"/>
    <w:rsid w:val="7396760B"/>
    <w:rsid w:val="73A919D8"/>
    <w:rsid w:val="73B870F9"/>
    <w:rsid w:val="73BC0182"/>
    <w:rsid w:val="73C064AF"/>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5F50CE0"/>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0</TotalTime>
  <ScaleCrop>false</ScaleCrop>
  <LinksUpToDate>false</LinksUpToDate>
  <CharactersWithSpaces>40754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2025-05-20T07:14:41Z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